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AD" w:rsidRPr="00681781" w:rsidRDefault="000D33DC" w:rsidP="00A118AD">
      <w:pPr>
        <w:pStyle w:val="Title"/>
        <w:spacing w:before="240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Health &amp; Human Service Agency Board </w:t>
      </w:r>
      <w:r w:rsidR="00A118AD">
        <w:rPr>
          <w:b/>
          <w:i w:val="0"/>
          <w:color w:val="auto"/>
        </w:rPr>
        <w:t xml:space="preserve"> </w:t>
      </w:r>
    </w:p>
    <w:p w:rsidR="00A118AD" w:rsidRPr="00D42762" w:rsidRDefault="00A118AD" w:rsidP="00A118AD">
      <w:pPr>
        <w:pStyle w:val="Heading1"/>
        <w:spacing w:before="0"/>
        <w:rPr>
          <w:color w:val="auto"/>
        </w:rPr>
      </w:pPr>
    </w:p>
    <w:p w:rsidR="00A118AD" w:rsidRPr="00D42762" w:rsidRDefault="00152A51" w:rsidP="00A118AD">
      <w:pPr>
        <w:pStyle w:val="Heading1"/>
        <w:spacing w:before="0"/>
        <w:rPr>
          <w:color w:val="auto"/>
        </w:rPr>
      </w:pPr>
      <w:r>
        <w:rPr>
          <w:color w:val="auto"/>
        </w:rPr>
        <w:t xml:space="preserve">GS 153A-77 </w:t>
      </w:r>
      <w:bookmarkStart w:id="0" w:name="_Toc310328992"/>
      <w:r w:rsidRPr="00D42762">
        <w:rPr>
          <w:color w:val="auto"/>
        </w:rPr>
        <w:t>Membership Requirements</w:t>
      </w:r>
      <w:bookmarkEnd w:id="0"/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A consolidated human services board appointed by the board of county</w:t>
      </w:r>
      <w:r w:rsidRPr="00152A51"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commissioners shall serve as the policy-making, rule-making, and administrative board of the</w:t>
      </w:r>
      <w:r w:rsidRPr="00152A51"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consolidated human services agency. The consolidated human services board shall be</w:t>
      </w:r>
      <w:r w:rsidRPr="00152A51"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composed of no more than 25 members. The composition of the board shall reasonably reflect</w:t>
      </w:r>
      <w:r w:rsidRPr="00152A51"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the population makeup of the county and shall include: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(1) Four</w:t>
      </w:r>
      <w:r w:rsidRPr="00152A51">
        <w:rPr>
          <w:rFonts w:ascii="Verdana" w:eastAsiaTheme="minorHAnsi" w:hAnsi="Verdana"/>
          <w:lang w:bidi="ar-SA"/>
        </w:rPr>
        <w:t xml:space="preserve"> persons who are consumers of human services.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(2) Eight persons who are professionals, each with qualifications in one of these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categories: one psychologist, one pharmacist, one engineer, one dentist, one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optometrist, one veterinarian, one social worker, and one registered nurse.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(3) Two physicians licensed to practice medicine in this State, one of whom shall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be a psychiatrist.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(4) One member of the board of county commissioners.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(5) Other persons, including members of the general public representing various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occupations.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The board of county commissioners may elect to appoint a member of the consolidated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human services board to fill concurrently more than one category of membership if the member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has the qualifications or attributes of more than one category of membership.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All members of the consolidated human services board shall be residents of the county. The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members of the board shall serve four-year terms. No member may serve more than two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consecutive four-year terms. The county commissioner member shall serve only as long as the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member is a county commissioner.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The initial board shall be appointed by the board of county commissioners upon the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recommendation of a nominating committee comprised of members of the pre</w:t>
      </w:r>
      <w:r>
        <w:rPr>
          <w:rFonts w:ascii="Verdana" w:eastAsiaTheme="minorHAnsi" w:hAnsi="Verdana"/>
          <w:lang w:bidi="ar-SA"/>
        </w:rPr>
        <w:t>-</w:t>
      </w:r>
      <w:r w:rsidRPr="00152A51">
        <w:rPr>
          <w:rFonts w:ascii="Verdana" w:eastAsiaTheme="minorHAnsi" w:hAnsi="Verdana"/>
          <w:lang w:bidi="ar-SA"/>
        </w:rPr>
        <w:t>consolidation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board of health, social services board, and area mental health, developmental disabilities, and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substance abuse services board. In order to establish a uniform staggered term structure for the</w:t>
      </w:r>
    </w:p>
    <w:p w:rsid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r w:rsidRPr="00152A51">
        <w:rPr>
          <w:rFonts w:ascii="Verdana" w:eastAsiaTheme="minorHAnsi" w:hAnsi="Verdana"/>
          <w:lang w:bidi="ar-SA"/>
        </w:rPr>
        <w:t>board, a member may be appointed for less than a four-year term. After the subsequent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establishment of the board, its board shall be appointed by the board of county commissioners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from nominees presented by the human services board. Vacancies shall be filled for any</w:t>
      </w:r>
      <w:r>
        <w:rPr>
          <w:rFonts w:ascii="Verdana" w:eastAsiaTheme="minorHAnsi" w:hAnsi="Verdana"/>
          <w:lang w:bidi="ar-SA"/>
        </w:rPr>
        <w:t xml:space="preserve"> </w:t>
      </w:r>
      <w:r w:rsidRPr="00152A51">
        <w:rPr>
          <w:rFonts w:ascii="Verdana" w:eastAsiaTheme="minorHAnsi" w:hAnsi="Verdana"/>
          <w:lang w:bidi="ar-SA"/>
        </w:rPr>
        <w:t>unexpired portion of a term.</w:t>
      </w:r>
    </w:p>
    <w:p w:rsidR="00152A51" w:rsidRPr="00152A51" w:rsidRDefault="00152A51" w:rsidP="00152A51">
      <w:pPr>
        <w:autoSpaceDE w:val="0"/>
        <w:autoSpaceDN w:val="0"/>
        <w:adjustRightInd w:val="0"/>
        <w:ind w:firstLine="0"/>
        <w:rPr>
          <w:rFonts w:ascii="Verdana" w:eastAsiaTheme="minorHAnsi" w:hAnsi="Verdana"/>
          <w:lang w:bidi="ar-SA"/>
        </w:rPr>
      </w:pPr>
      <w:bookmarkStart w:id="1" w:name="_GoBack"/>
      <w:bookmarkEnd w:id="1"/>
    </w:p>
    <w:p w:rsidR="00A118AD" w:rsidRPr="00D42762" w:rsidRDefault="00A118AD" w:rsidP="00A118AD">
      <w:pPr>
        <w:pStyle w:val="Heading1"/>
        <w:spacing w:before="0"/>
        <w:rPr>
          <w:color w:val="auto"/>
        </w:rPr>
      </w:pPr>
      <w:bookmarkStart w:id="2" w:name="_Toc310328993"/>
      <w:r w:rsidRPr="00D42762">
        <w:rPr>
          <w:color w:val="auto"/>
        </w:rPr>
        <w:t>Meeting Schedule</w:t>
      </w:r>
      <w:bookmarkEnd w:id="2"/>
    </w:p>
    <w:p w:rsidR="00A118AD" w:rsidRPr="00D42762" w:rsidRDefault="00FA2F83" w:rsidP="00A118AD">
      <w:pPr>
        <w:spacing w:after="240"/>
        <w:ind w:left="720" w:firstLine="0"/>
        <w:rPr>
          <w:rFonts w:ascii="Verdana" w:hAnsi="Verdana"/>
        </w:rPr>
      </w:pPr>
      <w:r>
        <w:rPr>
          <w:rFonts w:ascii="Verdana" w:hAnsi="Verdana"/>
        </w:rPr>
        <w:t>3</w:t>
      </w:r>
      <w:r w:rsidRPr="00FA2F83">
        <w:rPr>
          <w:rFonts w:ascii="Verdana" w:hAnsi="Verdana"/>
          <w:vertAlign w:val="superscript"/>
        </w:rPr>
        <w:t>rd</w:t>
      </w:r>
      <w:r w:rsidR="00A35421">
        <w:rPr>
          <w:rFonts w:ascii="Verdana" w:hAnsi="Verdana"/>
        </w:rPr>
        <w:t xml:space="preserve"> Thursday every other m</w:t>
      </w:r>
      <w:r>
        <w:rPr>
          <w:rFonts w:ascii="Verdana" w:hAnsi="Verdana"/>
        </w:rPr>
        <w:t>onth (January, March, May, Ju</w:t>
      </w:r>
      <w:r w:rsidR="00880495">
        <w:rPr>
          <w:rFonts w:ascii="Verdana" w:hAnsi="Verdana"/>
        </w:rPr>
        <w:t>ly, September, November) at 5:30</w:t>
      </w:r>
      <w:r>
        <w:rPr>
          <w:rFonts w:ascii="Verdana" w:hAnsi="Verdana"/>
        </w:rPr>
        <w:t>pm in the EOC Room at the Womack Building</w:t>
      </w:r>
      <w:r w:rsidR="00152A51">
        <w:rPr>
          <w:rFonts w:ascii="Verdana" w:hAnsi="Verdana"/>
        </w:rPr>
        <w:t>.</w:t>
      </w:r>
    </w:p>
    <w:sectPr w:rsidR="00A118AD" w:rsidRPr="00D4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AD"/>
    <w:rsid w:val="000D33DC"/>
    <w:rsid w:val="001048D8"/>
    <w:rsid w:val="00152A51"/>
    <w:rsid w:val="002165FC"/>
    <w:rsid w:val="002705AF"/>
    <w:rsid w:val="00322DE5"/>
    <w:rsid w:val="0062760E"/>
    <w:rsid w:val="00793FB0"/>
    <w:rsid w:val="00880495"/>
    <w:rsid w:val="00A118AD"/>
    <w:rsid w:val="00A35421"/>
    <w:rsid w:val="00AC7504"/>
    <w:rsid w:val="00DB1470"/>
    <w:rsid w:val="00E519FD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9A78"/>
  <w15:chartTrackingRefBased/>
  <w15:docId w15:val="{F6A4D0D5-B623-4043-A945-01E8089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8AD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8A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8A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8AD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118AD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118AD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118AD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  <w:style w:type="character" w:styleId="Hyperlink">
    <w:name w:val="Hyperlink"/>
    <w:basedOn w:val="DefaultParagraphFont"/>
    <w:uiPriority w:val="99"/>
    <w:unhideWhenUsed/>
    <w:rsid w:val="00E519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Ange High</cp:lastModifiedBy>
  <cp:revision>2</cp:revision>
  <dcterms:created xsi:type="dcterms:W3CDTF">2021-09-21T19:11:00Z</dcterms:created>
  <dcterms:modified xsi:type="dcterms:W3CDTF">2021-09-21T19:11:00Z</dcterms:modified>
</cp:coreProperties>
</file>